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128C" w14:textId="3A95D83B" w:rsidR="002B1A62" w:rsidRPr="00210EA0" w:rsidRDefault="008B7237" w:rsidP="007724CF">
      <w:pPr>
        <w:spacing w:after="60" w:line="240" w:lineRule="auto"/>
        <w:jc w:val="both"/>
        <w:rPr>
          <w:rFonts w:ascii="Arial" w:hAnsi="Arial" w:cs="Arial"/>
        </w:rPr>
      </w:pPr>
      <w:r w:rsidRPr="00210EA0">
        <w:rPr>
          <w:rFonts w:ascii="Arial" w:hAnsi="Arial" w:cs="Arial"/>
        </w:rPr>
        <w:tab/>
        <w:t>Në bazë të nenit 26 par. 1 e 2 të Ligjit për Referendumin dhe Iniciativës Popullore (“Gazeta Zyrtare e RS”, numër 111/21),</w:t>
      </w:r>
    </w:p>
    <w:p w14:paraId="7C039827" w14:textId="7DFDE665" w:rsidR="008B7237" w:rsidRPr="00210EA0" w:rsidRDefault="002B1A62" w:rsidP="002B1A62">
      <w:pPr>
        <w:spacing w:after="360" w:line="240" w:lineRule="auto"/>
        <w:jc w:val="both"/>
        <w:rPr>
          <w:rFonts w:ascii="Arial" w:hAnsi="Arial" w:cs="Arial"/>
        </w:rPr>
      </w:pPr>
      <w:r w:rsidRPr="00210EA0">
        <w:rPr>
          <w:rFonts w:ascii="Arial" w:hAnsi="Arial" w:cs="Arial"/>
        </w:rPr>
        <w:tab/>
        <w:t xml:space="preserve">Komisioni zgjedhor i Republikës, në seancën e mbajtur më 3 dhjetor 2021, miratoi </w:t>
      </w:r>
    </w:p>
    <w:p w14:paraId="275F08AE" w14:textId="4BD9A38C" w:rsidR="008B7237" w:rsidRPr="00210EA0" w:rsidRDefault="008B7237" w:rsidP="008B7237">
      <w:pPr>
        <w:spacing w:after="0" w:line="240" w:lineRule="auto"/>
        <w:jc w:val="center"/>
        <w:rPr>
          <w:rFonts w:ascii="Arial" w:hAnsi="Arial" w:cs="Arial"/>
          <w:b/>
        </w:rPr>
      </w:pPr>
      <w:r w:rsidRPr="00210EA0">
        <w:rPr>
          <w:rFonts w:ascii="Arial" w:hAnsi="Arial" w:cs="Arial"/>
          <w:b/>
        </w:rPr>
        <w:t>VENDIM</w:t>
      </w:r>
    </w:p>
    <w:p w14:paraId="5446E8DE" w14:textId="6B4C751F" w:rsidR="008F3E9B" w:rsidRPr="00210EA0" w:rsidRDefault="0099198E" w:rsidP="008F3E9B">
      <w:pPr>
        <w:spacing w:after="0" w:line="240" w:lineRule="auto"/>
        <w:jc w:val="center"/>
        <w:rPr>
          <w:rFonts w:ascii="Arial" w:hAnsi="Arial" w:cs="Arial"/>
          <w:b/>
        </w:rPr>
      </w:pPr>
      <w:r w:rsidRPr="00210EA0">
        <w:rPr>
          <w:rFonts w:ascii="Arial" w:hAnsi="Arial" w:cs="Arial"/>
          <w:b/>
        </w:rPr>
        <w:t>për përcaktimin e tekstit Informacion</w:t>
      </w:r>
      <w:r w:rsidR="00E94912" w:rsidRPr="00210EA0">
        <w:rPr>
          <w:rFonts w:ascii="Arial" w:hAnsi="Arial" w:cs="Arial"/>
          <w:b/>
        </w:rPr>
        <w:t>e</w:t>
      </w:r>
      <w:r w:rsidRPr="00210EA0">
        <w:rPr>
          <w:rFonts w:ascii="Arial" w:hAnsi="Arial" w:cs="Arial"/>
          <w:b/>
        </w:rPr>
        <w:t xml:space="preserve"> mbi Aktin </w:t>
      </w:r>
      <w:r w:rsidR="00E94912" w:rsidRPr="00210EA0">
        <w:rPr>
          <w:rFonts w:ascii="Arial" w:hAnsi="Arial" w:cs="Arial"/>
          <w:b/>
        </w:rPr>
        <w:t>pë</w:t>
      </w:r>
      <w:r w:rsidRPr="00210EA0">
        <w:rPr>
          <w:rFonts w:ascii="Arial" w:hAnsi="Arial" w:cs="Arial"/>
          <w:b/>
        </w:rPr>
        <w:t xml:space="preserve"> Ndryshimit </w:t>
      </w:r>
    </w:p>
    <w:p w14:paraId="6F54AA07" w14:textId="44037907" w:rsidR="00CA1EBF" w:rsidRPr="00210EA0" w:rsidRDefault="0099198E" w:rsidP="002B1A62">
      <w:pPr>
        <w:spacing w:after="360" w:line="240" w:lineRule="auto"/>
        <w:jc w:val="center"/>
        <w:rPr>
          <w:rFonts w:ascii="Arial" w:hAnsi="Arial" w:cs="Arial"/>
          <w:b/>
        </w:rPr>
      </w:pPr>
      <w:r w:rsidRPr="00210EA0">
        <w:rPr>
          <w:rFonts w:ascii="Arial" w:hAnsi="Arial" w:cs="Arial"/>
          <w:b/>
        </w:rPr>
        <w:t>të Kushtetutës së Republikës së Serbisë</w:t>
      </w:r>
    </w:p>
    <w:p w14:paraId="0DDDCA82" w14:textId="0C9CC00D" w:rsidR="00971E4C" w:rsidRPr="00210EA0" w:rsidRDefault="002B1A62" w:rsidP="009E552A">
      <w:pPr>
        <w:spacing w:after="120" w:line="240" w:lineRule="auto"/>
        <w:ind w:firstLine="708"/>
        <w:jc w:val="both"/>
        <w:rPr>
          <w:rFonts w:ascii="Arial" w:hAnsi="Arial" w:cs="Arial"/>
        </w:rPr>
      </w:pPr>
      <w:r w:rsidRPr="00210EA0">
        <w:rPr>
          <w:rFonts w:ascii="Arial" w:hAnsi="Arial" w:cs="Arial"/>
        </w:rPr>
        <w:t>1. Me këtë vendim përcaktohet teksti Informa</w:t>
      </w:r>
      <w:r w:rsidR="00F2359D" w:rsidRPr="00210EA0">
        <w:rPr>
          <w:rFonts w:ascii="Arial" w:hAnsi="Arial" w:cs="Arial"/>
        </w:rPr>
        <w:t>cion</w:t>
      </w:r>
      <w:r w:rsidR="00E94912" w:rsidRPr="00210EA0">
        <w:rPr>
          <w:rFonts w:ascii="Arial" w:hAnsi="Arial" w:cs="Arial"/>
        </w:rPr>
        <w:t>e</w:t>
      </w:r>
      <w:r w:rsidRPr="00210EA0">
        <w:rPr>
          <w:rFonts w:ascii="Arial" w:hAnsi="Arial" w:cs="Arial"/>
        </w:rPr>
        <w:t xml:space="preserve"> </w:t>
      </w:r>
      <w:r w:rsidR="00E94912" w:rsidRPr="00210EA0">
        <w:rPr>
          <w:rFonts w:ascii="Arial" w:hAnsi="Arial" w:cs="Arial"/>
        </w:rPr>
        <w:t>mbi</w:t>
      </w:r>
      <w:r w:rsidRPr="00210EA0">
        <w:rPr>
          <w:rFonts w:ascii="Arial" w:hAnsi="Arial" w:cs="Arial"/>
        </w:rPr>
        <w:t xml:space="preserve"> Aktin </w:t>
      </w:r>
      <w:r w:rsidR="00E94912" w:rsidRPr="00210EA0">
        <w:rPr>
          <w:rFonts w:ascii="Arial" w:hAnsi="Arial" w:cs="Arial"/>
        </w:rPr>
        <w:t>për</w:t>
      </w:r>
      <w:r w:rsidRPr="00210EA0">
        <w:rPr>
          <w:rFonts w:ascii="Arial" w:hAnsi="Arial" w:cs="Arial"/>
        </w:rPr>
        <w:t xml:space="preserve"> ndryshimin e Kushtetutës së Republikës së Serbisë, konfirmimin e të cilit qytetarët e vot</w:t>
      </w:r>
      <w:r w:rsidR="00F2359D" w:rsidRPr="00210EA0">
        <w:rPr>
          <w:rFonts w:ascii="Arial" w:hAnsi="Arial" w:cs="Arial"/>
        </w:rPr>
        <w:t>ojnë</w:t>
      </w:r>
      <w:r w:rsidRPr="00210EA0">
        <w:rPr>
          <w:rFonts w:ascii="Arial" w:hAnsi="Arial" w:cs="Arial"/>
        </w:rPr>
        <w:t xml:space="preserve"> në referendumin republikan të thirrur për 16 janar </w:t>
      </w:r>
      <w:r w:rsidR="00F2359D" w:rsidRPr="00210EA0">
        <w:rPr>
          <w:rFonts w:ascii="Arial" w:hAnsi="Arial" w:cs="Arial"/>
        </w:rPr>
        <w:t xml:space="preserve">të vitit </w:t>
      </w:r>
      <w:r w:rsidRPr="00210EA0">
        <w:rPr>
          <w:rFonts w:ascii="Arial" w:hAnsi="Arial" w:cs="Arial"/>
        </w:rPr>
        <w:t>2022, ku thuhet:</w:t>
      </w:r>
    </w:p>
    <w:p w14:paraId="0AF29F9C" w14:textId="6013FCB0" w:rsidR="00CE4D25" w:rsidRPr="00210EA0" w:rsidRDefault="00B1767C" w:rsidP="009E552A">
      <w:pPr>
        <w:spacing w:after="120" w:line="240" w:lineRule="auto"/>
        <w:ind w:firstLine="708"/>
        <w:jc w:val="both"/>
        <w:rPr>
          <w:rFonts w:ascii="Arial" w:hAnsi="Arial" w:cs="Arial"/>
          <w:b/>
          <w:bCs/>
        </w:rPr>
      </w:pPr>
      <w:r w:rsidRPr="00210EA0">
        <w:rPr>
          <w:rFonts w:ascii="Arial" w:hAnsi="Arial" w:cs="Arial"/>
        </w:rPr>
        <w:t>„</w:t>
      </w:r>
      <w:r w:rsidRPr="00210EA0">
        <w:rPr>
          <w:rFonts w:ascii="Arial" w:hAnsi="Arial" w:cs="Arial"/>
          <w:b/>
          <w:bCs/>
        </w:rPr>
        <w:t>1) Akti për ndryshimin e Kushtetutës i referohet ekskluzivisht gjyqësorit dhe nuk ndryshon pjesë të tjera të Kushtetutës</w:t>
      </w:r>
    </w:p>
    <w:p w14:paraId="18E1E65C" w14:textId="4D330308" w:rsidR="00CE4D25" w:rsidRPr="00210EA0" w:rsidRDefault="00CE4D25" w:rsidP="009E552A">
      <w:pPr>
        <w:spacing w:after="120" w:line="240" w:lineRule="auto"/>
        <w:jc w:val="both"/>
        <w:rPr>
          <w:rFonts w:ascii="Arial" w:hAnsi="Arial" w:cs="Arial"/>
        </w:rPr>
      </w:pPr>
      <w:r w:rsidRPr="00210EA0">
        <w:rPr>
          <w:rFonts w:ascii="Arial" w:hAnsi="Arial" w:cs="Arial"/>
        </w:rPr>
        <w:tab/>
        <w:t>Me Aktin për ndryshimin e Kushtetutës ndryshohen dispozitat kushtetuese për organizimin e gjykatave dhe prokurorive publike (neni 142–165 i Kushtetutës). Duke pasur parasysh se ekziston ndërvarësia ndërmjet këtyre dispozitave dhe dispozitave të tjera të Kushtetutës, janë ndryshuar edhe neni 4</w:t>
      </w:r>
      <w:r w:rsidR="0065457D" w:rsidRPr="00210EA0">
        <w:rPr>
          <w:rFonts w:ascii="Arial" w:hAnsi="Arial" w:cs="Arial"/>
        </w:rPr>
        <w:t xml:space="preserve"> </w:t>
      </w:r>
      <w:r w:rsidRPr="00210EA0">
        <w:rPr>
          <w:rFonts w:ascii="Arial" w:hAnsi="Arial" w:cs="Arial"/>
        </w:rPr>
        <w:t>i Kushtetutës, i cil</w:t>
      </w:r>
      <w:r w:rsidR="007B3DF1" w:rsidRPr="00210EA0">
        <w:rPr>
          <w:rFonts w:ascii="Arial" w:hAnsi="Arial" w:cs="Arial"/>
        </w:rPr>
        <w:t>i</w:t>
      </w:r>
      <w:r w:rsidRPr="00210EA0">
        <w:rPr>
          <w:rFonts w:ascii="Arial" w:hAnsi="Arial" w:cs="Arial"/>
        </w:rPr>
        <w:t xml:space="preserve"> përcakton parimin e ndarjes së pushtetit, neni 99 i Kushtetutës (Kompetencat e Kuvendit Popullor), neni 105 i Kushtetutës (Mënyra e marrjes së vendimeve në Kuvendin Popullor), neni 172 i Kushtetutës (Përbërja e Gjykatës Kushtetuese. Zgjedhja dhe emërimi i gjyqtarëve të Gjykatës Kushtetuese).</w:t>
      </w:r>
    </w:p>
    <w:p w14:paraId="29A29D44" w14:textId="7313F8E5" w:rsidR="00A80E51" w:rsidRPr="00210EA0" w:rsidRDefault="00CE4D25" w:rsidP="009E552A">
      <w:pPr>
        <w:spacing w:after="120" w:line="240" w:lineRule="auto"/>
        <w:jc w:val="both"/>
        <w:rPr>
          <w:rFonts w:ascii="Arial" w:hAnsi="Arial" w:cs="Arial"/>
        </w:rPr>
      </w:pPr>
      <w:r w:rsidRPr="00210EA0">
        <w:rPr>
          <w:rFonts w:ascii="Arial" w:hAnsi="Arial" w:cs="Arial"/>
        </w:rPr>
        <w:tab/>
        <w:t xml:space="preserve">Në përputhje me procedurën e përcaktuar për ndryshimin e Kushtetutës, qytetarët në referendum votojnë ekskluzivisht për dispozitat e </w:t>
      </w:r>
      <w:r w:rsidR="009E35E8" w:rsidRPr="00210EA0">
        <w:rPr>
          <w:rFonts w:ascii="Arial" w:hAnsi="Arial" w:cs="Arial"/>
        </w:rPr>
        <w:t xml:space="preserve">Aktit </w:t>
      </w:r>
      <w:r w:rsidRPr="00210EA0">
        <w:rPr>
          <w:rFonts w:ascii="Arial" w:hAnsi="Arial" w:cs="Arial"/>
        </w:rPr>
        <w:t xml:space="preserve">për ndryshimin e Kushtetutës, ndërsa dispozitat e tjera të Kushtetutës nuk janë objekt i referendumit. </w:t>
      </w:r>
    </w:p>
    <w:p w14:paraId="4834080D" w14:textId="7CE895F2" w:rsidR="0099198E" w:rsidRPr="00210EA0" w:rsidRDefault="00CE4D25" w:rsidP="009E552A">
      <w:pPr>
        <w:spacing w:after="120" w:line="240" w:lineRule="auto"/>
        <w:ind w:firstLine="708"/>
        <w:jc w:val="both"/>
        <w:rPr>
          <w:rFonts w:ascii="Arial" w:hAnsi="Arial" w:cs="Arial"/>
          <w:b/>
          <w:bCs/>
        </w:rPr>
      </w:pPr>
      <w:r w:rsidRPr="00210EA0">
        <w:rPr>
          <w:rFonts w:ascii="Arial" w:hAnsi="Arial" w:cs="Arial"/>
          <w:b/>
        </w:rPr>
        <w:t>2)</w:t>
      </w:r>
      <w:r w:rsidRPr="00210EA0">
        <w:rPr>
          <w:rFonts w:ascii="Arial" w:hAnsi="Arial" w:cs="Arial"/>
        </w:rPr>
        <w:t xml:space="preserve"> </w:t>
      </w:r>
      <w:r w:rsidRPr="00210EA0">
        <w:rPr>
          <w:rFonts w:ascii="Arial" w:hAnsi="Arial" w:cs="Arial"/>
          <w:b/>
          <w:bCs/>
        </w:rPr>
        <w:t>Parashikohen garanci shtesë kushtetuese për pavarësinë e gjyqësorit dhe gjyqtarëve</w:t>
      </w:r>
    </w:p>
    <w:p w14:paraId="50DAA683" w14:textId="3E97BF77" w:rsidR="008268B8" w:rsidRPr="00210EA0" w:rsidRDefault="00AF1AAC" w:rsidP="009E552A">
      <w:pPr>
        <w:spacing w:after="120" w:line="240" w:lineRule="auto"/>
        <w:jc w:val="both"/>
        <w:rPr>
          <w:rFonts w:ascii="Arial" w:hAnsi="Arial" w:cs="Arial"/>
        </w:rPr>
      </w:pPr>
      <w:r w:rsidRPr="00210EA0">
        <w:rPr>
          <w:rFonts w:ascii="Arial" w:hAnsi="Arial" w:cs="Arial"/>
        </w:rPr>
        <w:tab/>
        <w:t xml:space="preserve">Në sistemin e ndarjes së pushtetit në legjislativ, ekzekutiv dhe gjyqësor, gjyqësori është i pavarur. </w:t>
      </w:r>
      <w:r w:rsidR="00E94912" w:rsidRPr="00210EA0">
        <w:rPr>
          <w:rFonts w:ascii="Arial" w:hAnsi="Arial" w:cs="Arial"/>
        </w:rPr>
        <w:t>Marrëdhënia midis tre degëve të qeverisjes bazohet në kontrollin dhe balancimin e ndërsjellë</w:t>
      </w:r>
      <w:r w:rsidRPr="00210EA0">
        <w:rPr>
          <w:rFonts w:ascii="Arial" w:hAnsi="Arial" w:cs="Arial"/>
        </w:rPr>
        <w:t>, që do të thotë se as gjyqësori nuk mund të ndahet nga sistemi dhe t'i japë llogari vetes. Gjyqësori i përket gjykatave që janë të pavarura dhe vendimi i tyre mund të shqyrtohet vetëm nga gjykata kompetente në procedurën e përcaktuar me ligj, si dhe Gjykata Kushtetuese në procedurën e ankimit kushtetues. Gjyqtari është i pavarur dhe çdo ndikim i padrejtë mbi një gjyqtar në ushtrimin e funksionit gjyqësor është i ndaluar.</w:t>
      </w:r>
    </w:p>
    <w:p w14:paraId="13E0BC92" w14:textId="4B037F5B" w:rsidR="008268B8" w:rsidRPr="00210EA0" w:rsidRDefault="00CE4D25" w:rsidP="009E552A">
      <w:pPr>
        <w:spacing w:after="120" w:line="240" w:lineRule="auto"/>
        <w:ind w:firstLine="708"/>
        <w:jc w:val="both"/>
        <w:rPr>
          <w:rFonts w:ascii="Arial" w:hAnsi="Arial" w:cs="Arial"/>
          <w:b/>
          <w:bCs/>
        </w:rPr>
      </w:pPr>
      <w:r w:rsidRPr="00210EA0">
        <w:rPr>
          <w:rFonts w:ascii="Arial" w:hAnsi="Arial" w:cs="Arial"/>
          <w:b/>
          <w:bCs/>
        </w:rPr>
        <w:t xml:space="preserve">3) Është e garantuar </w:t>
      </w:r>
      <w:r w:rsidR="00C83486" w:rsidRPr="00210EA0">
        <w:rPr>
          <w:rFonts w:ascii="Arial" w:hAnsi="Arial" w:cs="Arial"/>
          <w:b/>
          <w:bCs/>
        </w:rPr>
        <w:t>përhershmëria</w:t>
      </w:r>
      <w:r w:rsidRPr="00210EA0">
        <w:rPr>
          <w:rFonts w:ascii="Arial" w:hAnsi="Arial" w:cs="Arial"/>
          <w:b/>
          <w:bCs/>
        </w:rPr>
        <w:t xml:space="preserve"> e funksionit gjyqësor</w:t>
      </w:r>
    </w:p>
    <w:p w14:paraId="12532793" w14:textId="5801C4AC" w:rsidR="0072688B" w:rsidRPr="00210EA0" w:rsidRDefault="008268B8" w:rsidP="009E552A">
      <w:pPr>
        <w:spacing w:after="120" w:line="240" w:lineRule="auto"/>
        <w:ind w:firstLine="720"/>
        <w:jc w:val="both"/>
        <w:rPr>
          <w:rFonts w:ascii="Arial" w:hAnsi="Arial" w:cs="Arial"/>
        </w:rPr>
      </w:pPr>
      <w:r w:rsidRPr="00210EA0">
        <w:rPr>
          <w:rFonts w:ascii="Arial" w:hAnsi="Arial" w:cs="Arial"/>
        </w:rPr>
        <w:t xml:space="preserve">Në një sistem në të cilin gjyqtarët zgjidhen për një periudhë të caktuar kohore (mundësia e rizgjedhjes), mund të shtrohet çështja e pavarësisë së gjyqtarëve. Prandaj është planifikuar heqja e zgjedhjes së parë të gjyqtarëve për tre vjet. Detyra gjyqësore zgjat nga zgjedhja e gjyqtarit deri në mbushjen e </w:t>
      </w:r>
      <w:r w:rsidR="00F4154D" w:rsidRPr="00210EA0">
        <w:rPr>
          <w:rFonts w:ascii="Arial" w:hAnsi="Arial" w:cs="Arial"/>
        </w:rPr>
        <w:t>viteve të punës</w:t>
      </w:r>
      <w:r w:rsidRPr="00210EA0">
        <w:rPr>
          <w:rFonts w:ascii="Arial" w:hAnsi="Arial" w:cs="Arial"/>
        </w:rPr>
        <w:t xml:space="preserve">. Arsyet për pushimin e parakohshëm të detyrës së gjyqtarit janë të përcaktuara në Kushtetutë, që do të thotë se arsye të tjera për përfundimin e detyrës së gjyqtarit nuk mund të parashikohen me ligj. Vendimi për pushimin e funksionit gjyqësor merret nga organi që zgjedh gjyqtarët - Këshilli i Lartë Gjyqësor. </w:t>
      </w:r>
    </w:p>
    <w:p w14:paraId="0484F6BA" w14:textId="1DFFD739" w:rsidR="0072688B" w:rsidRPr="00210EA0" w:rsidRDefault="00CE4D25" w:rsidP="009E552A">
      <w:pPr>
        <w:spacing w:after="120" w:line="240" w:lineRule="auto"/>
        <w:ind w:left="360" w:firstLine="348"/>
        <w:jc w:val="both"/>
        <w:rPr>
          <w:rFonts w:ascii="Arial" w:hAnsi="Arial" w:cs="Arial"/>
          <w:b/>
          <w:bCs/>
        </w:rPr>
      </w:pPr>
      <w:r w:rsidRPr="00210EA0">
        <w:rPr>
          <w:rFonts w:ascii="Arial" w:hAnsi="Arial" w:cs="Arial"/>
          <w:b/>
          <w:bCs/>
        </w:rPr>
        <w:t>4) Gjykata më e lartë në Republikën e Serbisë është Gjykata Supreme</w:t>
      </w:r>
    </w:p>
    <w:p w14:paraId="2DB5D82A" w14:textId="38B62C5C" w:rsidR="00876D41" w:rsidRPr="00210EA0" w:rsidRDefault="00C56606" w:rsidP="009E552A">
      <w:pPr>
        <w:spacing w:after="120" w:line="240" w:lineRule="auto"/>
        <w:jc w:val="both"/>
        <w:rPr>
          <w:rFonts w:ascii="Arial" w:hAnsi="Arial" w:cs="Arial"/>
        </w:rPr>
      </w:pPr>
      <w:r w:rsidRPr="00210EA0">
        <w:rPr>
          <w:rFonts w:ascii="Arial" w:hAnsi="Arial" w:cs="Arial"/>
        </w:rPr>
        <w:tab/>
        <w:t>Është planifikuar ndryshimi i emrit të gjykatës më të lartë në Republikën e Serbisë në vend të emrit aktual - Gjykata Supreme e Kasacionit. Emri i Gjykatës Supreme, i cili është paraparë, është në përputhje me traditën juridike të Serbisë, si dhe me kompetencat që tradicionalisht i ka gjykata më e lartë në vend.</w:t>
      </w:r>
    </w:p>
    <w:p w14:paraId="212484D4" w14:textId="7429F4AA" w:rsidR="00876D41" w:rsidRPr="00210EA0" w:rsidRDefault="00CE4D25" w:rsidP="009E552A">
      <w:pPr>
        <w:spacing w:after="120" w:line="240" w:lineRule="auto"/>
        <w:ind w:firstLine="708"/>
        <w:jc w:val="both"/>
        <w:rPr>
          <w:rFonts w:ascii="Arial" w:hAnsi="Arial" w:cs="Arial"/>
          <w:b/>
          <w:bCs/>
        </w:rPr>
      </w:pPr>
      <w:r w:rsidRPr="00210EA0">
        <w:rPr>
          <w:rFonts w:ascii="Arial" w:hAnsi="Arial" w:cs="Arial"/>
          <w:b/>
          <w:bCs/>
        </w:rPr>
        <w:t>5) Gjyqtarët, Kryetari</w:t>
      </w:r>
      <w:r w:rsidR="00800B1E" w:rsidRPr="00210EA0">
        <w:rPr>
          <w:rFonts w:ascii="Arial" w:hAnsi="Arial" w:cs="Arial"/>
          <w:b/>
          <w:bCs/>
        </w:rPr>
        <w:t>n</w:t>
      </w:r>
      <w:r w:rsidRPr="00210EA0">
        <w:rPr>
          <w:rFonts w:ascii="Arial" w:hAnsi="Arial" w:cs="Arial"/>
          <w:b/>
          <w:bCs/>
        </w:rPr>
        <w:t xml:space="preserve"> </w:t>
      </w:r>
      <w:r w:rsidR="00800B1E" w:rsidRPr="00210EA0">
        <w:rPr>
          <w:rFonts w:ascii="Arial" w:hAnsi="Arial" w:cs="Arial"/>
          <w:b/>
          <w:bCs/>
        </w:rPr>
        <w:t>e</w:t>
      </w:r>
      <w:r w:rsidRPr="00210EA0">
        <w:rPr>
          <w:rFonts w:ascii="Arial" w:hAnsi="Arial" w:cs="Arial"/>
          <w:b/>
          <w:bCs/>
        </w:rPr>
        <w:t xml:space="preserve"> Gjykatës </w:t>
      </w:r>
      <w:r w:rsidR="00800B1E" w:rsidRPr="00210EA0">
        <w:rPr>
          <w:rFonts w:ascii="Arial" w:hAnsi="Arial" w:cs="Arial"/>
          <w:b/>
          <w:bCs/>
        </w:rPr>
        <w:t>Supreme</w:t>
      </w:r>
      <w:r w:rsidRPr="00210EA0">
        <w:rPr>
          <w:rFonts w:ascii="Arial" w:hAnsi="Arial" w:cs="Arial"/>
          <w:b/>
          <w:bCs/>
        </w:rPr>
        <w:t xml:space="preserve"> dhe Kryetarët e Gjykatave </w:t>
      </w:r>
      <w:r w:rsidR="00800B1E" w:rsidRPr="00210EA0">
        <w:rPr>
          <w:rFonts w:ascii="Arial" w:hAnsi="Arial" w:cs="Arial"/>
          <w:b/>
          <w:bCs/>
        </w:rPr>
        <w:t xml:space="preserve">i </w:t>
      </w:r>
      <w:r w:rsidRPr="00210EA0">
        <w:rPr>
          <w:rFonts w:ascii="Arial" w:hAnsi="Arial" w:cs="Arial"/>
          <w:b/>
          <w:bCs/>
        </w:rPr>
        <w:t>zgj</w:t>
      </w:r>
      <w:r w:rsidR="00800B1E" w:rsidRPr="00210EA0">
        <w:rPr>
          <w:rFonts w:ascii="Arial" w:hAnsi="Arial" w:cs="Arial"/>
          <w:b/>
          <w:bCs/>
        </w:rPr>
        <w:t>e</w:t>
      </w:r>
      <w:r w:rsidRPr="00210EA0">
        <w:rPr>
          <w:rFonts w:ascii="Arial" w:hAnsi="Arial" w:cs="Arial"/>
          <w:b/>
          <w:bCs/>
        </w:rPr>
        <w:t>dh Këshilli i Lartë Gjyqësor</w:t>
      </w:r>
    </w:p>
    <w:p w14:paraId="0341BB83" w14:textId="5AEBFEB0" w:rsidR="0078679E" w:rsidRPr="00210EA0" w:rsidRDefault="002D0493" w:rsidP="009E552A">
      <w:pPr>
        <w:spacing w:after="120" w:line="240" w:lineRule="auto"/>
        <w:jc w:val="both"/>
        <w:rPr>
          <w:rFonts w:ascii="Arial" w:hAnsi="Arial" w:cs="Arial"/>
        </w:rPr>
      </w:pPr>
      <w:r w:rsidRPr="00210EA0">
        <w:rPr>
          <w:rFonts w:ascii="Arial" w:hAnsi="Arial" w:cs="Arial"/>
        </w:rPr>
        <w:tab/>
        <w:t xml:space="preserve">Sipas dispozitave kushtetuese aktuale, zgjedhja e parë e gjyqtarëve bëhet nga Kuvendi </w:t>
      </w:r>
      <w:r w:rsidR="00E94912" w:rsidRPr="00210EA0">
        <w:rPr>
          <w:rFonts w:ascii="Arial" w:hAnsi="Arial" w:cs="Arial"/>
        </w:rPr>
        <w:t>P</w:t>
      </w:r>
      <w:r w:rsidR="00800B1E" w:rsidRPr="00210EA0">
        <w:rPr>
          <w:rFonts w:ascii="Arial" w:hAnsi="Arial" w:cs="Arial"/>
        </w:rPr>
        <w:t xml:space="preserve">opullor </w:t>
      </w:r>
      <w:r w:rsidRPr="00210EA0">
        <w:rPr>
          <w:rFonts w:ascii="Arial" w:hAnsi="Arial" w:cs="Arial"/>
        </w:rPr>
        <w:t xml:space="preserve">me propozimin e Këshillit të Lartë Gjyqësor. Vendimi i propozuar në Aktin për ndryshimin e Kushtetutës së Republikës së Serbisë shfuqizon zgjedhjen e gjyqtarëve në Kuvendin </w:t>
      </w:r>
      <w:r w:rsidR="00E94912" w:rsidRPr="00210EA0">
        <w:rPr>
          <w:rFonts w:ascii="Arial" w:hAnsi="Arial" w:cs="Arial"/>
        </w:rPr>
        <w:t>Popullor</w:t>
      </w:r>
      <w:r w:rsidRPr="00210EA0">
        <w:rPr>
          <w:rFonts w:ascii="Arial" w:hAnsi="Arial" w:cs="Arial"/>
        </w:rPr>
        <w:t xml:space="preserve"> dhe parashikon zgjedhjen e gjyqtarëve ekskluzivisht nga Këshilli i Lartë Gjyqësor. Ky organ përbëhet nga 11 anëtarë, nga të cilët gjashtë janë gjyqtarë të zgjedhur nga gjyqtarët, katër juristë të shquar të zgjedhur nga </w:t>
      </w:r>
      <w:r w:rsidR="00800B1E" w:rsidRPr="00210EA0">
        <w:rPr>
          <w:rFonts w:ascii="Arial" w:hAnsi="Arial" w:cs="Arial"/>
        </w:rPr>
        <w:t>Kuvendi Popullor</w:t>
      </w:r>
      <w:r w:rsidRPr="00210EA0">
        <w:rPr>
          <w:rFonts w:ascii="Arial" w:hAnsi="Arial" w:cs="Arial"/>
        </w:rPr>
        <w:t xml:space="preserve"> dhe Kryetari i Gjykatës </w:t>
      </w:r>
      <w:r w:rsidR="00800B1E" w:rsidRPr="00210EA0">
        <w:rPr>
          <w:rFonts w:ascii="Arial" w:hAnsi="Arial" w:cs="Arial"/>
        </w:rPr>
        <w:t>Supreme</w:t>
      </w:r>
      <w:r w:rsidRPr="00210EA0">
        <w:rPr>
          <w:rFonts w:ascii="Arial" w:hAnsi="Arial" w:cs="Arial"/>
        </w:rPr>
        <w:t xml:space="preserve">, </w:t>
      </w:r>
      <w:r w:rsidR="00800B1E" w:rsidRPr="00210EA0">
        <w:rPr>
          <w:rFonts w:ascii="Arial" w:hAnsi="Arial" w:cs="Arial"/>
        </w:rPr>
        <w:t>që</w:t>
      </w:r>
      <w:r w:rsidRPr="00210EA0">
        <w:rPr>
          <w:rFonts w:ascii="Arial" w:hAnsi="Arial" w:cs="Arial"/>
        </w:rPr>
        <w:t xml:space="preserve"> përfaqëson gjyqësorin në tërësi. Përfaqësuesit e ekzekutivit dhe legjislativit nuk </w:t>
      </w:r>
      <w:r w:rsidRPr="00210EA0">
        <w:rPr>
          <w:rFonts w:ascii="Arial" w:hAnsi="Arial" w:cs="Arial"/>
        </w:rPr>
        <w:lastRenderedPageBreak/>
        <w:t xml:space="preserve">marrin pjesë më në zgjedhjen e gjyqtarëve. Kryetari i Gjykatës </w:t>
      </w:r>
      <w:r w:rsidR="00532F88" w:rsidRPr="00210EA0">
        <w:rPr>
          <w:rFonts w:ascii="Arial" w:hAnsi="Arial" w:cs="Arial"/>
        </w:rPr>
        <w:t>Supreme</w:t>
      </w:r>
      <w:r w:rsidRPr="00210EA0">
        <w:rPr>
          <w:rFonts w:ascii="Arial" w:hAnsi="Arial" w:cs="Arial"/>
        </w:rPr>
        <w:t xml:space="preserve"> dhe Kryetarët e Gjykatave, të cilët zgjidhen nga </w:t>
      </w:r>
      <w:r w:rsidR="00532F88" w:rsidRPr="00210EA0">
        <w:rPr>
          <w:rFonts w:ascii="Arial" w:hAnsi="Arial" w:cs="Arial"/>
        </w:rPr>
        <w:t>Kuvendi Popullor</w:t>
      </w:r>
      <w:r w:rsidRPr="00210EA0">
        <w:rPr>
          <w:rFonts w:ascii="Arial" w:hAnsi="Arial" w:cs="Arial"/>
        </w:rPr>
        <w:t xml:space="preserve"> sipas dispozitave kushtetuese në fuqi, në të ardhmen do të zgjidhen nga Këshilli i Lartë Gjyqësor.</w:t>
      </w:r>
    </w:p>
    <w:p w14:paraId="22D438DF" w14:textId="415ED110" w:rsidR="00C5543B" w:rsidRPr="00210EA0" w:rsidRDefault="002D0493" w:rsidP="009E552A">
      <w:pPr>
        <w:spacing w:after="120" w:line="240" w:lineRule="auto"/>
        <w:jc w:val="both"/>
        <w:rPr>
          <w:rFonts w:ascii="Arial" w:hAnsi="Arial" w:cs="Arial"/>
        </w:rPr>
      </w:pPr>
      <w:r w:rsidRPr="00210EA0">
        <w:rPr>
          <w:rFonts w:ascii="Arial" w:hAnsi="Arial" w:cs="Arial"/>
        </w:rPr>
        <w:tab/>
        <w:t xml:space="preserve">Anëtarë të Këshillit të Lartë Gjyqësor nga radhët e juristëve të shquar </w:t>
      </w:r>
      <w:r w:rsidR="00532F88" w:rsidRPr="00210EA0">
        <w:rPr>
          <w:rFonts w:ascii="Arial" w:hAnsi="Arial" w:cs="Arial"/>
        </w:rPr>
        <w:t xml:space="preserve">mund të zgjidhen </w:t>
      </w:r>
      <w:r w:rsidRPr="00210EA0">
        <w:rPr>
          <w:rFonts w:ascii="Arial" w:hAnsi="Arial" w:cs="Arial"/>
        </w:rPr>
        <w:t xml:space="preserve">persona me të paktën dhjetë vjet përvojë në profesionin e </w:t>
      </w:r>
      <w:r w:rsidR="00532F88" w:rsidRPr="00210EA0">
        <w:rPr>
          <w:rFonts w:ascii="Arial" w:hAnsi="Arial" w:cs="Arial"/>
        </w:rPr>
        <w:t>juristit</w:t>
      </w:r>
      <w:r w:rsidRPr="00210EA0">
        <w:rPr>
          <w:rFonts w:ascii="Arial" w:hAnsi="Arial" w:cs="Arial"/>
        </w:rPr>
        <w:t xml:space="preserve">, të cilët nuk mund të jenë anëtarë të një partie politike dhe duhet të jenë të denjë për këtë detyrë. Ata i zgjedh Kuvendi Popullor pas një konkursi publik. </w:t>
      </w:r>
    </w:p>
    <w:p w14:paraId="31FD6779" w14:textId="3769CEAA" w:rsidR="0099198E" w:rsidRPr="00210EA0" w:rsidRDefault="00CE4D25" w:rsidP="009E552A">
      <w:pPr>
        <w:spacing w:after="120" w:line="240" w:lineRule="auto"/>
        <w:ind w:firstLine="708"/>
        <w:jc w:val="both"/>
        <w:rPr>
          <w:rFonts w:ascii="Arial" w:hAnsi="Arial" w:cs="Arial"/>
          <w:b/>
          <w:bCs/>
        </w:rPr>
      </w:pPr>
      <w:r w:rsidRPr="00210EA0">
        <w:rPr>
          <w:rFonts w:ascii="Arial" w:hAnsi="Arial" w:cs="Arial"/>
          <w:b/>
          <w:bCs/>
        </w:rPr>
        <w:t xml:space="preserve">6) Ndryshimet organizative sigurojnë pavarësinë dhe </w:t>
      </w:r>
      <w:r w:rsidR="0069119B" w:rsidRPr="00210EA0">
        <w:rPr>
          <w:rFonts w:ascii="Arial" w:hAnsi="Arial" w:cs="Arial"/>
          <w:b/>
          <w:bCs/>
        </w:rPr>
        <w:t xml:space="preserve">përgjegjësinë </w:t>
      </w:r>
      <w:r w:rsidRPr="00210EA0">
        <w:rPr>
          <w:rFonts w:ascii="Arial" w:hAnsi="Arial" w:cs="Arial"/>
          <w:b/>
          <w:bCs/>
        </w:rPr>
        <w:t>e prokurorisë publike</w:t>
      </w:r>
    </w:p>
    <w:p w14:paraId="41702525" w14:textId="69F30F80" w:rsidR="00DB105C" w:rsidRPr="00210EA0" w:rsidRDefault="00345E98" w:rsidP="009E552A">
      <w:pPr>
        <w:spacing w:after="120" w:line="240" w:lineRule="auto"/>
        <w:ind w:firstLine="720"/>
        <w:jc w:val="both"/>
        <w:rPr>
          <w:rFonts w:ascii="Arial" w:hAnsi="Arial" w:cs="Arial"/>
        </w:rPr>
      </w:pPr>
      <w:r w:rsidRPr="00210EA0">
        <w:rPr>
          <w:rFonts w:ascii="Arial" w:hAnsi="Arial" w:cs="Arial"/>
        </w:rPr>
        <w:t xml:space="preserve">Funksionin e Prokurorisë Publike e kryejnë Prokurori </w:t>
      </w:r>
      <w:r w:rsidR="00577059" w:rsidRPr="00210EA0">
        <w:rPr>
          <w:rFonts w:ascii="Arial" w:hAnsi="Arial" w:cs="Arial"/>
        </w:rPr>
        <w:t>Suprem</w:t>
      </w:r>
      <w:r w:rsidRPr="00210EA0">
        <w:rPr>
          <w:rFonts w:ascii="Arial" w:hAnsi="Arial" w:cs="Arial"/>
        </w:rPr>
        <w:t xml:space="preserve"> Publik, Kryeprokurorët Publikë dhe Prokurorët Publikë. Kryeprokurorët publikë do të kryejnë funksionin e prokurorëve aktualë publikë, ndërsa </w:t>
      </w:r>
      <w:r w:rsidR="00E94912" w:rsidRPr="00210EA0">
        <w:rPr>
          <w:rFonts w:ascii="Arial" w:hAnsi="Arial" w:cs="Arial"/>
        </w:rPr>
        <w:t>Z</w:t>
      </w:r>
      <w:r w:rsidRPr="00210EA0">
        <w:rPr>
          <w:rFonts w:ascii="Arial" w:hAnsi="Arial" w:cs="Arial"/>
        </w:rPr>
        <w:t xml:space="preserve">ëvendësprokurorët publikë do të bëhen prokurorët publikë, të cilët së bashku me kryeprokurorët publik do ta kryejnë funksionin e Prokurorisë Publike. Ndryshimi i paraparë siguron pavarësi dhe përgjegjësi më të madhe të bartësve të </w:t>
      </w:r>
      <w:r w:rsidR="00577059" w:rsidRPr="00210EA0">
        <w:rPr>
          <w:rFonts w:ascii="Arial" w:hAnsi="Arial" w:cs="Arial"/>
        </w:rPr>
        <w:t xml:space="preserve">funksionit të </w:t>
      </w:r>
      <w:r w:rsidRPr="00210EA0">
        <w:rPr>
          <w:rFonts w:ascii="Arial" w:hAnsi="Arial" w:cs="Arial"/>
        </w:rPr>
        <w:t xml:space="preserve">prokurorisë publike. Në përputhje me emrin e gjykatës më të lartë në Republikën e Serbisë, emri i </w:t>
      </w:r>
      <w:r w:rsidR="00577059" w:rsidRPr="00210EA0">
        <w:rPr>
          <w:rFonts w:ascii="Arial" w:hAnsi="Arial" w:cs="Arial"/>
        </w:rPr>
        <w:t>P</w:t>
      </w:r>
      <w:r w:rsidRPr="00210EA0">
        <w:rPr>
          <w:rFonts w:ascii="Arial" w:hAnsi="Arial" w:cs="Arial"/>
        </w:rPr>
        <w:t xml:space="preserve">rokurorisë më të lartë </w:t>
      </w:r>
      <w:r w:rsidR="00577059" w:rsidRPr="00210EA0">
        <w:rPr>
          <w:rFonts w:ascii="Arial" w:hAnsi="Arial" w:cs="Arial"/>
        </w:rPr>
        <w:t>P</w:t>
      </w:r>
      <w:r w:rsidRPr="00210EA0">
        <w:rPr>
          <w:rFonts w:ascii="Arial" w:hAnsi="Arial" w:cs="Arial"/>
        </w:rPr>
        <w:t xml:space="preserve">ublike është ndryshuar në Prokurorinë Supreme Publike, </w:t>
      </w:r>
      <w:r w:rsidR="00577059" w:rsidRPr="00210EA0">
        <w:rPr>
          <w:rFonts w:ascii="Arial" w:hAnsi="Arial" w:cs="Arial"/>
        </w:rPr>
        <w:t xml:space="preserve">të cilën e drejton </w:t>
      </w:r>
      <w:r w:rsidRPr="00210EA0">
        <w:rPr>
          <w:rFonts w:ascii="Arial" w:hAnsi="Arial" w:cs="Arial"/>
        </w:rPr>
        <w:t>Prokurori</w:t>
      </w:r>
      <w:r w:rsidR="00577059" w:rsidRPr="00210EA0">
        <w:rPr>
          <w:rFonts w:ascii="Arial" w:hAnsi="Arial" w:cs="Arial"/>
        </w:rPr>
        <w:t xml:space="preserve"> Suprem</w:t>
      </w:r>
      <w:r w:rsidRPr="00210EA0">
        <w:rPr>
          <w:rFonts w:ascii="Arial" w:hAnsi="Arial" w:cs="Arial"/>
        </w:rPr>
        <w:t xml:space="preserve"> Publik.</w:t>
      </w:r>
    </w:p>
    <w:p w14:paraId="5DBBF2E7" w14:textId="0A49851C" w:rsidR="00DB105C" w:rsidRPr="00210EA0" w:rsidRDefault="00CE4D25" w:rsidP="009E552A">
      <w:pPr>
        <w:spacing w:after="120" w:line="240" w:lineRule="auto"/>
        <w:ind w:firstLine="708"/>
        <w:jc w:val="both"/>
        <w:rPr>
          <w:rFonts w:ascii="Arial" w:hAnsi="Arial" w:cs="Arial"/>
          <w:b/>
          <w:bCs/>
        </w:rPr>
      </w:pPr>
      <w:r w:rsidRPr="00210EA0">
        <w:rPr>
          <w:rFonts w:ascii="Arial" w:hAnsi="Arial" w:cs="Arial"/>
          <w:b/>
          <w:bCs/>
        </w:rPr>
        <w:t xml:space="preserve">7) Kryeprokurorët publikë dhe </w:t>
      </w:r>
      <w:r w:rsidR="00E94912" w:rsidRPr="00210EA0">
        <w:rPr>
          <w:rFonts w:ascii="Arial" w:hAnsi="Arial" w:cs="Arial"/>
          <w:b/>
          <w:bCs/>
        </w:rPr>
        <w:t>P</w:t>
      </w:r>
      <w:r w:rsidRPr="00210EA0">
        <w:rPr>
          <w:rFonts w:ascii="Arial" w:hAnsi="Arial" w:cs="Arial"/>
          <w:b/>
          <w:bCs/>
        </w:rPr>
        <w:t>rokurorët publikë zgjidhen nga Këshilli i Lartë i Prokurorisë</w:t>
      </w:r>
    </w:p>
    <w:p w14:paraId="74969FE6" w14:textId="0AD6EAF7" w:rsidR="00DB105C" w:rsidRPr="00210EA0" w:rsidRDefault="006559C0" w:rsidP="009E552A">
      <w:pPr>
        <w:spacing w:after="120" w:line="240" w:lineRule="auto"/>
        <w:jc w:val="both"/>
        <w:rPr>
          <w:rFonts w:ascii="Arial" w:hAnsi="Arial" w:cs="Arial"/>
        </w:rPr>
      </w:pPr>
      <w:r w:rsidRPr="00210EA0">
        <w:rPr>
          <w:rFonts w:ascii="Arial" w:hAnsi="Arial" w:cs="Arial"/>
        </w:rPr>
        <w:tab/>
      </w:r>
      <w:r w:rsidR="00950DE0" w:rsidRPr="00210EA0">
        <w:rPr>
          <w:rFonts w:ascii="Arial" w:hAnsi="Arial" w:cs="Arial"/>
        </w:rPr>
        <w:t xml:space="preserve">Kryeprokurorët publikë dhe </w:t>
      </w:r>
      <w:r w:rsidR="00E94912" w:rsidRPr="00210EA0">
        <w:rPr>
          <w:rFonts w:ascii="Arial" w:hAnsi="Arial" w:cs="Arial"/>
        </w:rPr>
        <w:t>P</w:t>
      </w:r>
      <w:r w:rsidR="00950DE0" w:rsidRPr="00210EA0">
        <w:rPr>
          <w:rFonts w:ascii="Arial" w:hAnsi="Arial" w:cs="Arial"/>
        </w:rPr>
        <w:t>rokurorët publikë zgjidhen nga Këshilli i Lartë i Prokurorisë</w:t>
      </w:r>
      <w:r w:rsidRPr="00210EA0">
        <w:rPr>
          <w:rFonts w:ascii="Arial" w:hAnsi="Arial" w:cs="Arial"/>
        </w:rPr>
        <w:t>.</w:t>
      </w:r>
      <w:r w:rsidR="0065457D" w:rsidRPr="00210EA0">
        <w:rPr>
          <w:rFonts w:ascii="Arial" w:hAnsi="Arial" w:cs="Arial"/>
        </w:rPr>
        <w:t xml:space="preserve"> </w:t>
      </w:r>
      <w:r w:rsidR="00950DE0" w:rsidRPr="00210EA0">
        <w:rPr>
          <w:rFonts w:ascii="Arial" w:hAnsi="Arial" w:cs="Arial"/>
        </w:rPr>
        <w:t xml:space="preserve">Ndryshe nga dispozitat aktuale kushtetuese, </w:t>
      </w:r>
      <w:r w:rsidR="00E94912" w:rsidRPr="00210EA0">
        <w:rPr>
          <w:rFonts w:ascii="Arial" w:hAnsi="Arial" w:cs="Arial"/>
        </w:rPr>
        <w:t>Krye</w:t>
      </w:r>
      <w:r w:rsidR="00950DE0" w:rsidRPr="00210EA0">
        <w:rPr>
          <w:rFonts w:ascii="Arial" w:hAnsi="Arial" w:cs="Arial"/>
        </w:rPr>
        <w:t xml:space="preserve">prokurorët publikë nuk do të </w:t>
      </w:r>
      <w:r w:rsidR="00E94912" w:rsidRPr="00210EA0">
        <w:rPr>
          <w:rFonts w:ascii="Arial" w:hAnsi="Arial" w:cs="Arial"/>
        </w:rPr>
        <w:t>propozohen</w:t>
      </w:r>
      <w:r w:rsidR="00950DE0" w:rsidRPr="00210EA0">
        <w:rPr>
          <w:rFonts w:ascii="Arial" w:hAnsi="Arial" w:cs="Arial"/>
        </w:rPr>
        <w:t xml:space="preserve"> më nga Qeveria dhe as nuk do të zgjidhen nga Kuvendi </w:t>
      </w:r>
      <w:r w:rsidRPr="00210EA0">
        <w:rPr>
          <w:rFonts w:ascii="Arial" w:hAnsi="Arial" w:cs="Arial"/>
        </w:rPr>
        <w:t>Popullor</w:t>
      </w:r>
      <w:r w:rsidR="00950DE0" w:rsidRPr="00210EA0">
        <w:rPr>
          <w:rFonts w:ascii="Arial" w:hAnsi="Arial" w:cs="Arial"/>
        </w:rPr>
        <w:t xml:space="preserve">. Prokurori </w:t>
      </w:r>
      <w:r w:rsidRPr="00210EA0">
        <w:rPr>
          <w:rFonts w:ascii="Arial" w:hAnsi="Arial" w:cs="Arial"/>
        </w:rPr>
        <w:t>Suprem</w:t>
      </w:r>
      <w:r w:rsidR="00950DE0" w:rsidRPr="00210EA0">
        <w:rPr>
          <w:rFonts w:ascii="Arial" w:hAnsi="Arial" w:cs="Arial"/>
        </w:rPr>
        <w:t xml:space="preserve"> Publik në Republikën e Serbisë ende zgjidhet nga Kuvendi Popullor, por me propozim të Këshillit të Lartë të Prokurorisë, pas konkursit publik.</w:t>
      </w:r>
    </w:p>
    <w:p w14:paraId="7E64DA1C" w14:textId="1FC2A3F5" w:rsidR="00992D9A" w:rsidRPr="00210EA0" w:rsidRDefault="00DC51B8" w:rsidP="009E552A">
      <w:pPr>
        <w:spacing w:after="120" w:line="240" w:lineRule="auto"/>
        <w:ind w:firstLine="720"/>
        <w:jc w:val="both"/>
        <w:rPr>
          <w:rFonts w:ascii="Arial" w:hAnsi="Arial" w:cs="Arial"/>
        </w:rPr>
      </w:pPr>
      <w:r w:rsidRPr="00210EA0">
        <w:rPr>
          <w:rFonts w:ascii="Arial" w:hAnsi="Arial" w:cs="Arial"/>
        </w:rPr>
        <w:t xml:space="preserve">Këshilli i Lartë i Prokurorisë është organ i pavarur shtetëror që siguron dhe garanton pavarësinë e Prokurorisë Publike, Prokurorit </w:t>
      </w:r>
      <w:r w:rsidR="006559C0" w:rsidRPr="00210EA0">
        <w:rPr>
          <w:rFonts w:ascii="Arial" w:hAnsi="Arial" w:cs="Arial"/>
        </w:rPr>
        <w:t>Suprem</w:t>
      </w:r>
      <w:r w:rsidRPr="00210EA0">
        <w:rPr>
          <w:rFonts w:ascii="Arial" w:hAnsi="Arial" w:cs="Arial"/>
        </w:rPr>
        <w:t xml:space="preserve"> Publik, Kryeprokurorëve Publikë dhe Prokurorëve Publikë. Ky organ përbëhet nga 11 anëtarë, nga të cilët pesë janë prokurorë publikë të zgjedhur nga kryeprokurorët publikë dhe prokurorët publikë, katër </w:t>
      </w:r>
      <w:r w:rsidR="00996E1B" w:rsidRPr="00210EA0">
        <w:rPr>
          <w:rFonts w:ascii="Arial" w:hAnsi="Arial" w:cs="Arial"/>
        </w:rPr>
        <w:t xml:space="preserve">juristë </w:t>
      </w:r>
      <w:r w:rsidRPr="00210EA0">
        <w:rPr>
          <w:rFonts w:ascii="Arial" w:hAnsi="Arial" w:cs="Arial"/>
        </w:rPr>
        <w:t xml:space="preserve">të shquar zgjidhen nga Kuvendi </w:t>
      </w:r>
      <w:r w:rsidR="00996E1B" w:rsidRPr="00210EA0">
        <w:rPr>
          <w:rFonts w:ascii="Arial" w:hAnsi="Arial" w:cs="Arial"/>
        </w:rPr>
        <w:t>Popullor</w:t>
      </w:r>
      <w:r w:rsidRPr="00210EA0">
        <w:rPr>
          <w:rFonts w:ascii="Arial" w:hAnsi="Arial" w:cs="Arial"/>
        </w:rPr>
        <w:t xml:space="preserve">, Prokurori </w:t>
      </w:r>
      <w:r w:rsidR="00996E1B" w:rsidRPr="00210EA0">
        <w:rPr>
          <w:rFonts w:ascii="Arial" w:hAnsi="Arial" w:cs="Arial"/>
        </w:rPr>
        <w:t>Suprem</w:t>
      </w:r>
      <w:r w:rsidRPr="00210EA0">
        <w:rPr>
          <w:rFonts w:ascii="Arial" w:hAnsi="Arial" w:cs="Arial"/>
        </w:rPr>
        <w:t xml:space="preserve"> Publik dhe Ministri përgjegjës </w:t>
      </w:r>
      <w:r w:rsidR="00E94912" w:rsidRPr="00210EA0">
        <w:rPr>
          <w:rFonts w:ascii="Arial" w:hAnsi="Arial" w:cs="Arial"/>
        </w:rPr>
        <w:t xml:space="preserve">i </w:t>
      </w:r>
      <w:r w:rsidRPr="00210EA0">
        <w:rPr>
          <w:rFonts w:ascii="Arial" w:hAnsi="Arial" w:cs="Arial"/>
        </w:rPr>
        <w:t>drejtësi</w:t>
      </w:r>
      <w:r w:rsidR="00E94912" w:rsidRPr="00210EA0">
        <w:rPr>
          <w:rFonts w:ascii="Arial" w:hAnsi="Arial" w:cs="Arial"/>
        </w:rPr>
        <w:t>së</w:t>
      </w:r>
      <w:r w:rsidRPr="00210EA0">
        <w:rPr>
          <w:rFonts w:ascii="Arial" w:hAnsi="Arial" w:cs="Arial"/>
        </w:rPr>
        <w:t xml:space="preserve">. </w:t>
      </w:r>
      <w:r w:rsidR="00996E1B" w:rsidRPr="00210EA0">
        <w:rPr>
          <w:rFonts w:ascii="Arial" w:hAnsi="Arial" w:cs="Arial"/>
        </w:rPr>
        <w:t>Është parashikuar</w:t>
      </w:r>
      <w:r w:rsidR="0065457D" w:rsidRPr="00210EA0">
        <w:rPr>
          <w:rFonts w:ascii="Arial" w:hAnsi="Arial" w:cs="Arial"/>
        </w:rPr>
        <w:t xml:space="preserve"> </w:t>
      </w:r>
      <w:r w:rsidRPr="00210EA0">
        <w:rPr>
          <w:rFonts w:ascii="Arial" w:hAnsi="Arial" w:cs="Arial"/>
        </w:rPr>
        <w:t xml:space="preserve">kufizim </w:t>
      </w:r>
      <w:r w:rsidR="00996E1B" w:rsidRPr="00210EA0">
        <w:rPr>
          <w:rFonts w:ascii="Arial" w:hAnsi="Arial" w:cs="Arial"/>
        </w:rPr>
        <w:t>për</w:t>
      </w:r>
      <w:r w:rsidRPr="00210EA0">
        <w:rPr>
          <w:rFonts w:ascii="Arial" w:hAnsi="Arial" w:cs="Arial"/>
        </w:rPr>
        <w:t xml:space="preserve"> ministri</w:t>
      </w:r>
      <w:r w:rsidR="00996E1B" w:rsidRPr="00210EA0">
        <w:rPr>
          <w:rFonts w:ascii="Arial" w:hAnsi="Arial" w:cs="Arial"/>
        </w:rPr>
        <w:t>n</w:t>
      </w:r>
      <w:r w:rsidRPr="00210EA0">
        <w:rPr>
          <w:rFonts w:ascii="Arial" w:hAnsi="Arial" w:cs="Arial"/>
        </w:rPr>
        <w:t xml:space="preserve"> përgjegjës </w:t>
      </w:r>
      <w:r w:rsidR="0021167D" w:rsidRPr="00210EA0">
        <w:rPr>
          <w:rFonts w:ascii="Arial" w:hAnsi="Arial" w:cs="Arial"/>
        </w:rPr>
        <w:t>të</w:t>
      </w:r>
      <w:r w:rsidRPr="00210EA0">
        <w:rPr>
          <w:rFonts w:ascii="Arial" w:hAnsi="Arial" w:cs="Arial"/>
        </w:rPr>
        <w:t xml:space="preserve"> drejtësi</w:t>
      </w:r>
      <w:r w:rsidR="0021167D" w:rsidRPr="00210EA0">
        <w:rPr>
          <w:rFonts w:ascii="Arial" w:hAnsi="Arial" w:cs="Arial"/>
        </w:rPr>
        <w:t>së</w:t>
      </w:r>
      <w:r w:rsidRPr="00210EA0">
        <w:rPr>
          <w:rFonts w:ascii="Arial" w:hAnsi="Arial" w:cs="Arial"/>
        </w:rPr>
        <w:t xml:space="preserve"> </w:t>
      </w:r>
      <w:r w:rsidR="00996E1B" w:rsidRPr="00210EA0">
        <w:rPr>
          <w:rFonts w:ascii="Arial" w:hAnsi="Arial" w:cs="Arial"/>
        </w:rPr>
        <w:t xml:space="preserve">se nuk </w:t>
      </w:r>
      <w:r w:rsidRPr="00210EA0">
        <w:rPr>
          <w:rFonts w:ascii="Arial" w:hAnsi="Arial" w:cs="Arial"/>
        </w:rPr>
        <w:t>mund të votojë në procedurën e përcaktimit t</w:t>
      </w:r>
      <w:bookmarkStart w:id="0" w:name="_GoBack"/>
      <w:bookmarkEnd w:id="0"/>
      <w:r w:rsidRPr="00210EA0">
        <w:rPr>
          <w:rFonts w:ascii="Arial" w:hAnsi="Arial" w:cs="Arial"/>
        </w:rPr>
        <w:t>ë përgjegjësisë disiplinore të prokurorëve publikë.</w:t>
      </w:r>
    </w:p>
    <w:p w14:paraId="38CA6AC0" w14:textId="3D648D9F" w:rsidR="0099198E" w:rsidRPr="00210EA0" w:rsidRDefault="008F3E9B" w:rsidP="009E552A">
      <w:pPr>
        <w:spacing w:after="120" w:line="240" w:lineRule="auto"/>
        <w:ind w:firstLine="708"/>
        <w:jc w:val="both"/>
        <w:rPr>
          <w:rFonts w:ascii="Arial" w:hAnsi="Arial" w:cs="Arial"/>
          <w:b/>
          <w:bCs/>
        </w:rPr>
      </w:pPr>
      <w:r w:rsidRPr="00210EA0">
        <w:rPr>
          <w:rFonts w:ascii="Arial" w:hAnsi="Arial" w:cs="Arial"/>
          <w:b/>
          <w:bCs/>
        </w:rPr>
        <w:t xml:space="preserve">8) Qëllimi i ndryshimit të Kushtetutës </w:t>
      </w:r>
    </w:p>
    <w:p w14:paraId="73F1233F" w14:textId="05343A5D" w:rsidR="005109D4" w:rsidRPr="00210EA0" w:rsidRDefault="00662337" w:rsidP="009E552A">
      <w:pPr>
        <w:pStyle w:val="ListParagraph"/>
        <w:spacing w:after="120" w:line="240" w:lineRule="auto"/>
        <w:ind w:left="0" w:firstLine="360"/>
        <w:contextualSpacing w:val="0"/>
        <w:jc w:val="both"/>
        <w:rPr>
          <w:rFonts w:ascii="Arial" w:hAnsi="Arial" w:cs="Arial"/>
          <w:bCs/>
        </w:rPr>
      </w:pPr>
      <w:r w:rsidRPr="00210EA0">
        <w:rPr>
          <w:rFonts w:ascii="Arial" w:hAnsi="Arial" w:cs="Arial"/>
          <w:bCs/>
        </w:rPr>
        <w:tab/>
        <w:t xml:space="preserve">Miratimi i </w:t>
      </w:r>
      <w:r w:rsidR="001C5571" w:rsidRPr="00210EA0">
        <w:rPr>
          <w:rFonts w:ascii="Arial" w:hAnsi="Arial" w:cs="Arial"/>
          <w:bCs/>
        </w:rPr>
        <w:t>Aktit</w:t>
      </w:r>
      <w:r w:rsidRPr="00210EA0">
        <w:rPr>
          <w:rFonts w:ascii="Arial" w:hAnsi="Arial" w:cs="Arial"/>
          <w:bCs/>
        </w:rPr>
        <w:t xml:space="preserve"> për ndryshimin e Kushtetutës synon të sigurojë pavarësi më të madhe, efikasitet dhe llogaridhënie të gjyqësorit, pavarësi dhe llogaridhënie më të madhe të prokurorisë publike, mbrojtje më të mirë të të drejtave të qytetarëve dhe forcimin </w:t>
      </w:r>
      <w:r w:rsidR="001C5571" w:rsidRPr="00210EA0">
        <w:rPr>
          <w:rFonts w:ascii="Arial" w:hAnsi="Arial" w:cs="Arial"/>
          <w:bCs/>
        </w:rPr>
        <w:t>e sundimit të ligjit</w:t>
      </w:r>
      <w:r w:rsidRPr="00210EA0">
        <w:rPr>
          <w:rFonts w:ascii="Arial" w:hAnsi="Arial" w:cs="Arial"/>
          <w:bCs/>
        </w:rPr>
        <w:t>”.</w:t>
      </w:r>
    </w:p>
    <w:p w14:paraId="7E2A8A0B" w14:textId="10DAFEA7" w:rsidR="00C10194" w:rsidRPr="00210EA0" w:rsidRDefault="00F144A7" w:rsidP="009B2EA0">
      <w:pPr>
        <w:spacing w:after="360" w:line="240" w:lineRule="auto"/>
        <w:ind w:firstLine="708"/>
        <w:jc w:val="both"/>
        <w:rPr>
          <w:rFonts w:ascii="Arial" w:hAnsi="Arial" w:cs="Arial"/>
          <w:bCs/>
        </w:rPr>
      </w:pPr>
      <w:r w:rsidRPr="00210EA0">
        <w:rPr>
          <w:rFonts w:ascii="Arial" w:hAnsi="Arial" w:cs="Arial"/>
          <w:bCs/>
        </w:rPr>
        <w:t xml:space="preserve">2. Ky vendim duhet të publikohet në “Gazetën Zyrtare të Republikës së Serbisë”, në ueb prezantimin e Komisionit </w:t>
      </w:r>
      <w:r w:rsidR="00333B71" w:rsidRPr="00210EA0">
        <w:rPr>
          <w:rFonts w:ascii="Arial" w:hAnsi="Arial" w:cs="Arial"/>
          <w:bCs/>
        </w:rPr>
        <w:t xml:space="preserve">Zgjedhor të </w:t>
      </w:r>
      <w:r w:rsidRPr="00210EA0">
        <w:rPr>
          <w:rFonts w:ascii="Arial" w:hAnsi="Arial" w:cs="Arial"/>
          <w:bCs/>
        </w:rPr>
        <w:t>Republik</w:t>
      </w:r>
      <w:r w:rsidR="00333B71" w:rsidRPr="00210EA0">
        <w:rPr>
          <w:rFonts w:ascii="Arial" w:hAnsi="Arial" w:cs="Arial"/>
          <w:bCs/>
        </w:rPr>
        <w:t>ës</w:t>
      </w:r>
      <w:r w:rsidRPr="00210EA0">
        <w:rPr>
          <w:rFonts w:ascii="Arial" w:hAnsi="Arial" w:cs="Arial"/>
          <w:bCs/>
        </w:rPr>
        <w:t xml:space="preserve"> dhe në media dhe t'u dërgohet qytetarëve që kanë të drejtë të votojnë në referendumin </w:t>
      </w:r>
      <w:r w:rsidR="00333B71" w:rsidRPr="00210EA0">
        <w:rPr>
          <w:rFonts w:ascii="Arial" w:hAnsi="Arial" w:cs="Arial"/>
          <w:bCs/>
        </w:rPr>
        <w:t xml:space="preserve">republikan </w:t>
      </w:r>
      <w:r w:rsidRPr="00210EA0">
        <w:rPr>
          <w:rFonts w:ascii="Arial" w:hAnsi="Arial" w:cs="Arial"/>
          <w:bCs/>
        </w:rPr>
        <w:t xml:space="preserve">për të konfirmuar Aktin për ndryshimin e </w:t>
      </w:r>
      <w:r w:rsidR="00333B71" w:rsidRPr="00210EA0">
        <w:rPr>
          <w:rFonts w:ascii="Arial" w:hAnsi="Arial" w:cs="Arial"/>
          <w:bCs/>
        </w:rPr>
        <w:t>Kushtetutës së</w:t>
      </w:r>
      <w:r w:rsidR="0065457D" w:rsidRPr="00210EA0">
        <w:rPr>
          <w:rFonts w:ascii="Arial" w:hAnsi="Arial" w:cs="Arial"/>
          <w:bCs/>
        </w:rPr>
        <w:t xml:space="preserve"> </w:t>
      </w:r>
      <w:r w:rsidRPr="00210EA0">
        <w:rPr>
          <w:rFonts w:ascii="Arial" w:hAnsi="Arial" w:cs="Arial"/>
          <w:bCs/>
        </w:rPr>
        <w:t>Republikës së Serbisë</w:t>
      </w:r>
      <w:r w:rsidR="0021167D" w:rsidRPr="00210EA0">
        <w:rPr>
          <w:rFonts w:ascii="Arial" w:hAnsi="Arial" w:cs="Arial"/>
          <w:bCs/>
        </w:rPr>
        <w:t>,</w:t>
      </w:r>
      <w:r w:rsidR="00333B71" w:rsidRPr="00210EA0">
        <w:rPr>
          <w:rFonts w:ascii="Arial" w:hAnsi="Arial" w:cs="Arial"/>
          <w:bCs/>
        </w:rPr>
        <w:t xml:space="preserve"> në adresën e vendbanimit</w:t>
      </w:r>
      <w:r w:rsidRPr="00210EA0">
        <w:rPr>
          <w:rFonts w:ascii="Arial" w:hAnsi="Arial" w:cs="Arial"/>
          <w:bCs/>
        </w:rPr>
        <w:t>.</w:t>
      </w:r>
    </w:p>
    <w:p w14:paraId="1413CDBB" w14:textId="3FF3BA02" w:rsidR="00C10194" w:rsidRPr="00210EA0" w:rsidRDefault="00C10194" w:rsidP="00C10194">
      <w:pPr>
        <w:spacing w:after="0" w:line="240" w:lineRule="auto"/>
        <w:jc w:val="both"/>
        <w:rPr>
          <w:rFonts w:ascii="Arial" w:eastAsia="Times New Roman" w:hAnsi="Arial" w:cs="Arial"/>
        </w:rPr>
      </w:pPr>
      <w:r w:rsidRPr="00210EA0">
        <w:rPr>
          <w:rFonts w:ascii="Arial" w:hAnsi="Arial" w:cs="Arial"/>
        </w:rPr>
        <w:t>02 numër 014-125/21</w:t>
      </w:r>
    </w:p>
    <w:p w14:paraId="56C83ACD" w14:textId="1742BE21" w:rsidR="00C10194" w:rsidRPr="00210EA0" w:rsidRDefault="00A86CDD" w:rsidP="00210EA0">
      <w:pPr>
        <w:spacing w:after="360" w:line="240" w:lineRule="auto"/>
        <w:jc w:val="both"/>
        <w:rPr>
          <w:rFonts w:ascii="Arial" w:eastAsia="Times New Roman" w:hAnsi="Arial" w:cs="Arial"/>
        </w:rPr>
      </w:pPr>
      <w:r w:rsidRPr="00210EA0">
        <w:rPr>
          <w:rFonts w:ascii="Arial" w:hAnsi="Arial" w:cs="Arial"/>
        </w:rPr>
        <w:t>Në Beograd, më 3 dhjetor 2021</w:t>
      </w:r>
    </w:p>
    <w:p w14:paraId="5A84A955" w14:textId="4317261A" w:rsidR="00C10194" w:rsidRPr="00210EA0" w:rsidRDefault="00C3547B" w:rsidP="00210EA0">
      <w:pPr>
        <w:spacing w:after="360" w:line="240" w:lineRule="auto"/>
        <w:jc w:val="center"/>
        <w:rPr>
          <w:rFonts w:ascii="Arial" w:eastAsia="Times New Roman" w:hAnsi="Arial" w:cs="Arial"/>
          <w:b/>
          <w:spacing w:val="8"/>
        </w:rPr>
      </w:pPr>
      <w:r w:rsidRPr="00210EA0">
        <w:rPr>
          <w:rFonts w:ascii="Arial" w:hAnsi="Arial" w:cs="Arial"/>
          <w:b/>
        </w:rPr>
        <w:t>Komisioni zgjedhor i Republikës</w:t>
      </w:r>
    </w:p>
    <w:p w14:paraId="2E60FA12" w14:textId="48AE951F" w:rsidR="00C10194" w:rsidRPr="00210EA0" w:rsidRDefault="00C10194" w:rsidP="00C10194">
      <w:pPr>
        <w:shd w:val="clear" w:color="auto" w:fill="FFFFFF"/>
        <w:tabs>
          <w:tab w:val="center" w:pos="6840"/>
        </w:tabs>
        <w:spacing w:after="360" w:line="240" w:lineRule="auto"/>
        <w:rPr>
          <w:rFonts w:ascii="Arial" w:eastAsia="Times New Roman" w:hAnsi="Arial" w:cs="Arial"/>
          <w:noProof/>
          <w:color w:val="000000"/>
        </w:rPr>
      </w:pPr>
      <w:r w:rsidRPr="00210EA0">
        <w:rPr>
          <w:rFonts w:ascii="Arial" w:hAnsi="Arial" w:cs="Arial"/>
          <w:color w:val="000000"/>
        </w:rPr>
        <w:tab/>
        <w:t>Kryetar,</w:t>
      </w:r>
    </w:p>
    <w:p w14:paraId="0BD7CEC7" w14:textId="253C680D" w:rsidR="00C10194" w:rsidRPr="00210EA0" w:rsidRDefault="00C10194" w:rsidP="00210EA0">
      <w:pPr>
        <w:shd w:val="clear" w:color="auto" w:fill="FFFFFF"/>
        <w:tabs>
          <w:tab w:val="center" w:pos="6840"/>
        </w:tabs>
        <w:spacing w:after="120" w:line="240" w:lineRule="auto"/>
        <w:rPr>
          <w:rFonts w:ascii="Arial" w:eastAsia="Times New Roman" w:hAnsi="Arial" w:cs="Arial"/>
          <w:noProof/>
        </w:rPr>
      </w:pPr>
      <w:r w:rsidRPr="00210EA0">
        <w:rPr>
          <w:rFonts w:ascii="Arial" w:hAnsi="Arial" w:cs="Arial"/>
          <w:color w:val="000000"/>
        </w:rPr>
        <w:tab/>
        <w:t>Vlladimir Dimitrijeviq, d.v.</w:t>
      </w:r>
    </w:p>
    <w:sectPr w:rsidR="00C10194" w:rsidRPr="00210EA0" w:rsidSect="0076012F">
      <w:headerReference w:type="default" r:id="rId8"/>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4623" w14:textId="77777777" w:rsidR="008822F3" w:rsidRDefault="008822F3" w:rsidP="0099198E">
      <w:pPr>
        <w:spacing w:after="0" w:line="240" w:lineRule="auto"/>
      </w:pPr>
      <w:r>
        <w:separator/>
      </w:r>
    </w:p>
  </w:endnote>
  <w:endnote w:type="continuationSeparator" w:id="0">
    <w:p w14:paraId="51CB5837" w14:textId="77777777" w:rsidR="008822F3" w:rsidRDefault="008822F3" w:rsidP="0099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67102" w14:textId="77777777" w:rsidR="008822F3" w:rsidRDefault="008822F3" w:rsidP="0099198E">
      <w:pPr>
        <w:spacing w:after="0" w:line="240" w:lineRule="auto"/>
      </w:pPr>
      <w:r>
        <w:separator/>
      </w:r>
    </w:p>
  </w:footnote>
  <w:footnote w:type="continuationSeparator" w:id="0">
    <w:p w14:paraId="07721022" w14:textId="77777777" w:rsidR="008822F3" w:rsidRDefault="008822F3" w:rsidP="0099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81126"/>
      <w:docPartObj>
        <w:docPartGallery w:val="Page Numbers (Top of Page)"/>
        <w:docPartUnique/>
      </w:docPartObj>
    </w:sdtPr>
    <w:sdtEndPr>
      <w:rPr>
        <w:rFonts w:ascii="Arial" w:hAnsi="Arial" w:cs="Arial"/>
        <w:noProof/>
      </w:rPr>
    </w:sdtEndPr>
    <w:sdtContent>
      <w:p w14:paraId="31154DD1" w14:textId="3EDF49BF" w:rsidR="0099198E" w:rsidRPr="003F3C5C" w:rsidRDefault="0099198E">
        <w:pPr>
          <w:pStyle w:val="Header"/>
          <w:jc w:val="center"/>
          <w:rPr>
            <w:rFonts w:ascii="Arial" w:hAnsi="Arial" w:cs="Arial"/>
          </w:rPr>
        </w:pPr>
        <w:r w:rsidRPr="003F3C5C">
          <w:rPr>
            <w:rFonts w:ascii="Arial" w:hAnsi="Arial" w:cs="Arial"/>
          </w:rPr>
          <w:fldChar w:fldCharType="begin"/>
        </w:r>
        <w:r w:rsidRPr="003F3C5C">
          <w:rPr>
            <w:rFonts w:ascii="Arial" w:hAnsi="Arial" w:cs="Arial"/>
          </w:rPr>
          <w:instrText xml:space="preserve"> PAGE   \* MERGEFORMAT </w:instrText>
        </w:r>
        <w:r w:rsidRPr="003F3C5C">
          <w:rPr>
            <w:rFonts w:ascii="Arial" w:hAnsi="Arial" w:cs="Arial"/>
          </w:rPr>
          <w:fldChar w:fldCharType="separate"/>
        </w:r>
        <w:r w:rsidR="009E552A">
          <w:rPr>
            <w:rFonts w:ascii="Arial" w:hAnsi="Arial" w:cs="Arial"/>
            <w:noProof/>
          </w:rPr>
          <w:t>2</w:t>
        </w:r>
        <w:r w:rsidRPr="003F3C5C">
          <w:rPr>
            <w:rFonts w:ascii="Arial" w:hAnsi="Arial" w:cs="Arial"/>
          </w:rPr>
          <w:fldChar w:fldCharType="end"/>
        </w:r>
      </w:p>
    </w:sdtContent>
  </w:sdt>
  <w:p w14:paraId="59FD4E67" w14:textId="77777777" w:rsidR="0099198E" w:rsidRDefault="009919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3539"/>
    <w:multiLevelType w:val="hybridMultilevel"/>
    <w:tmpl w:val="866C5CB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C"/>
    <w:rsid w:val="000239EE"/>
    <w:rsid w:val="00135CF2"/>
    <w:rsid w:val="00194D58"/>
    <w:rsid w:val="001C5571"/>
    <w:rsid w:val="00210EA0"/>
    <w:rsid w:val="0021167D"/>
    <w:rsid w:val="002B1A62"/>
    <w:rsid w:val="002C3CD5"/>
    <w:rsid w:val="002C6ADE"/>
    <w:rsid w:val="002D0493"/>
    <w:rsid w:val="00333B71"/>
    <w:rsid w:val="00345E98"/>
    <w:rsid w:val="003D01CC"/>
    <w:rsid w:val="003F3C5C"/>
    <w:rsid w:val="00482824"/>
    <w:rsid w:val="00484DA2"/>
    <w:rsid w:val="00486CFF"/>
    <w:rsid w:val="004A044B"/>
    <w:rsid w:val="004B5638"/>
    <w:rsid w:val="004C04B1"/>
    <w:rsid w:val="005109D4"/>
    <w:rsid w:val="00532F88"/>
    <w:rsid w:val="00544B1A"/>
    <w:rsid w:val="00577059"/>
    <w:rsid w:val="005A43DF"/>
    <w:rsid w:val="005D535F"/>
    <w:rsid w:val="00605625"/>
    <w:rsid w:val="006220F9"/>
    <w:rsid w:val="0063088C"/>
    <w:rsid w:val="0065457D"/>
    <w:rsid w:val="006559C0"/>
    <w:rsid w:val="00662337"/>
    <w:rsid w:val="0069119B"/>
    <w:rsid w:val="006A3107"/>
    <w:rsid w:val="006B5D2D"/>
    <w:rsid w:val="006E38AC"/>
    <w:rsid w:val="006E7B2A"/>
    <w:rsid w:val="0072688B"/>
    <w:rsid w:val="0076012F"/>
    <w:rsid w:val="007613CD"/>
    <w:rsid w:val="007724CF"/>
    <w:rsid w:val="00783050"/>
    <w:rsid w:val="00785210"/>
    <w:rsid w:val="0078679E"/>
    <w:rsid w:val="007B3DF1"/>
    <w:rsid w:val="00800B1E"/>
    <w:rsid w:val="008268B8"/>
    <w:rsid w:val="00876D41"/>
    <w:rsid w:val="008822F3"/>
    <w:rsid w:val="00893DE1"/>
    <w:rsid w:val="008B7237"/>
    <w:rsid w:val="008D3F1E"/>
    <w:rsid w:val="008F3E9B"/>
    <w:rsid w:val="00950DE0"/>
    <w:rsid w:val="00953537"/>
    <w:rsid w:val="00971E4C"/>
    <w:rsid w:val="0099198E"/>
    <w:rsid w:val="00992D9A"/>
    <w:rsid w:val="00996E1B"/>
    <w:rsid w:val="009B2EA0"/>
    <w:rsid w:val="009E35E8"/>
    <w:rsid w:val="009E552A"/>
    <w:rsid w:val="00A57631"/>
    <w:rsid w:val="00A80E51"/>
    <w:rsid w:val="00A83C3E"/>
    <w:rsid w:val="00A86CDD"/>
    <w:rsid w:val="00AC1AD9"/>
    <w:rsid w:val="00AD47FC"/>
    <w:rsid w:val="00AF1AAC"/>
    <w:rsid w:val="00B1767C"/>
    <w:rsid w:val="00B31EDF"/>
    <w:rsid w:val="00C10194"/>
    <w:rsid w:val="00C3547B"/>
    <w:rsid w:val="00C41F30"/>
    <w:rsid w:val="00C5543B"/>
    <w:rsid w:val="00C56606"/>
    <w:rsid w:val="00C6091D"/>
    <w:rsid w:val="00C83486"/>
    <w:rsid w:val="00CA1EBF"/>
    <w:rsid w:val="00CE4D25"/>
    <w:rsid w:val="00CF5E91"/>
    <w:rsid w:val="00D42732"/>
    <w:rsid w:val="00DA23DE"/>
    <w:rsid w:val="00DA7D85"/>
    <w:rsid w:val="00DA7E11"/>
    <w:rsid w:val="00DA7FA4"/>
    <w:rsid w:val="00DB105C"/>
    <w:rsid w:val="00DC51B8"/>
    <w:rsid w:val="00DE4C88"/>
    <w:rsid w:val="00E03131"/>
    <w:rsid w:val="00E05802"/>
    <w:rsid w:val="00E507C9"/>
    <w:rsid w:val="00E73C63"/>
    <w:rsid w:val="00E94912"/>
    <w:rsid w:val="00E9603D"/>
    <w:rsid w:val="00F144A7"/>
    <w:rsid w:val="00F2359D"/>
    <w:rsid w:val="00F4154D"/>
    <w:rsid w:val="00FB46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45F8"/>
  <w15:docId w15:val="{58500CB7-438C-4A99-9B3F-D37B026F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4C"/>
    <w:pPr>
      <w:ind w:left="720"/>
      <w:contextualSpacing/>
    </w:pPr>
  </w:style>
  <w:style w:type="paragraph" w:styleId="Header">
    <w:name w:val="header"/>
    <w:basedOn w:val="Normal"/>
    <w:link w:val="HeaderChar"/>
    <w:uiPriority w:val="99"/>
    <w:unhideWhenUsed/>
    <w:rsid w:val="0099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8E"/>
    <w:rPr>
      <w:lang w:val="sq-AL"/>
    </w:rPr>
  </w:style>
  <w:style w:type="paragraph" w:styleId="Footer">
    <w:name w:val="footer"/>
    <w:basedOn w:val="Normal"/>
    <w:link w:val="FooterChar"/>
    <w:uiPriority w:val="99"/>
    <w:unhideWhenUsed/>
    <w:rsid w:val="0099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8E"/>
    <w:rPr>
      <w:lang w:val="sq-AL"/>
    </w:rPr>
  </w:style>
  <w:style w:type="character" w:styleId="CommentReference">
    <w:name w:val="annotation reference"/>
    <w:basedOn w:val="DefaultParagraphFont"/>
    <w:uiPriority w:val="99"/>
    <w:semiHidden/>
    <w:unhideWhenUsed/>
    <w:rsid w:val="00C10194"/>
    <w:rPr>
      <w:sz w:val="16"/>
      <w:szCs w:val="16"/>
    </w:rPr>
  </w:style>
  <w:style w:type="paragraph" w:styleId="CommentText">
    <w:name w:val="annotation text"/>
    <w:basedOn w:val="Normal"/>
    <w:link w:val="CommentTextChar"/>
    <w:uiPriority w:val="99"/>
    <w:semiHidden/>
    <w:unhideWhenUsed/>
    <w:rsid w:val="00C10194"/>
    <w:pPr>
      <w:spacing w:line="240" w:lineRule="auto"/>
    </w:pPr>
    <w:rPr>
      <w:sz w:val="20"/>
      <w:szCs w:val="20"/>
    </w:rPr>
  </w:style>
  <w:style w:type="character" w:customStyle="1" w:styleId="CommentTextChar">
    <w:name w:val="Comment Text Char"/>
    <w:basedOn w:val="DefaultParagraphFont"/>
    <w:link w:val="CommentText"/>
    <w:uiPriority w:val="99"/>
    <w:semiHidden/>
    <w:rsid w:val="00C10194"/>
    <w:rPr>
      <w:sz w:val="20"/>
      <w:szCs w:val="20"/>
      <w:lang w:val="sq-AL"/>
    </w:rPr>
  </w:style>
  <w:style w:type="paragraph" w:styleId="CommentSubject">
    <w:name w:val="annotation subject"/>
    <w:basedOn w:val="CommentText"/>
    <w:next w:val="CommentText"/>
    <w:link w:val="CommentSubjectChar"/>
    <w:uiPriority w:val="99"/>
    <w:semiHidden/>
    <w:unhideWhenUsed/>
    <w:rsid w:val="00C10194"/>
    <w:rPr>
      <w:b/>
      <w:bCs/>
    </w:rPr>
  </w:style>
  <w:style w:type="character" w:customStyle="1" w:styleId="CommentSubjectChar">
    <w:name w:val="Comment Subject Char"/>
    <w:basedOn w:val="CommentTextChar"/>
    <w:link w:val="CommentSubject"/>
    <w:uiPriority w:val="99"/>
    <w:semiHidden/>
    <w:rsid w:val="00C10194"/>
    <w:rPr>
      <w:b/>
      <w:bCs/>
      <w:sz w:val="20"/>
      <w:szCs w:val="20"/>
      <w:lang w:val="sq-AL"/>
    </w:rPr>
  </w:style>
  <w:style w:type="paragraph" w:styleId="BalloonText">
    <w:name w:val="Balloon Text"/>
    <w:basedOn w:val="Normal"/>
    <w:link w:val="BalloonTextChar"/>
    <w:uiPriority w:val="99"/>
    <w:semiHidden/>
    <w:unhideWhenUsed/>
    <w:rsid w:val="00C10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94"/>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5C69-5D26-435D-87CD-C94415FC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1081</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petrov.p.vladan@gmail.com</dc:creator>
  <cp:keywords/>
  <dc:description/>
  <cp:lastModifiedBy>Biljana Zeljković</cp:lastModifiedBy>
  <cp:revision>5</cp:revision>
  <cp:lastPrinted>2021-12-02T18:04:00Z</cp:lastPrinted>
  <dcterms:created xsi:type="dcterms:W3CDTF">2021-12-06T10:34:00Z</dcterms:created>
  <dcterms:modified xsi:type="dcterms:W3CDTF">2021-12-07T09:00:00Z</dcterms:modified>
</cp:coreProperties>
</file>